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C1" w:rsidRDefault="00E62EC1" w:rsidP="00E62EC1">
      <w:pPr>
        <w:pStyle w:val="Style1"/>
        <w:kinsoku w:val="0"/>
        <w:autoSpaceDE/>
        <w:autoSpaceDN/>
        <w:adjustRightInd/>
        <w:spacing w:line="268" w:lineRule="exact"/>
        <w:rPr>
          <w:sz w:val="20"/>
          <w:szCs w:val="20"/>
          <w:lang w:val="es-ES" w:eastAsia="es-ES"/>
        </w:rPr>
      </w:pPr>
    </w:p>
    <w:p w:rsidR="00E62EC1" w:rsidRDefault="00E62EC1" w:rsidP="00E62EC1">
      <w:pPr>
        <w:pStyle w:val="Style2"/>
        <w:kinsoku w:val="0"/>
        <w:autoSpaceDE/>
        <w:autoSpaceDN/>
        <w:spacing w:before="468" w:line="208" w:lineRule="auto"/>
        <w:rPr>
          <w:rStyle w:val="CharacterStyle1"/>
          <w:b/>
          <w:bCs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>RESOLUCION N° 167-02</w:t>
      </w:r>
    </w:p>
    <w:p w:rsidR="00E62EC1" w:rsidRDefault="00E62EC1" w:rsidP="00E62EC1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TRIBUNAL ADMINISTRATIVO DE TRANSPORTES. </w:t>
      </w:r>
      <w:r>
        <w:rPr>
          <w:spacing w:val="-6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diecisiete minutos del veinticuatro de setiembre de dos mil dos.</w:t>
      </w:r>
    </w:p>
    <w:p w:rsidR="00E62EC1" w:rsidRDefault="00E62EC1" w:rsidP="00E62EC1">
      <w:pPr>
        <w:pStyle w:val="Style3"/>
        <w:kinsoku w:val="0"/>
        <w:autoSpaceDE/>
        <w:autoSpaceDN/>
        <w:spacing w:before="288"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Se conoce adición de Recurso de Apelación e Incidentes de Nulidad Absoluta y de </w:t>
      </w:r>
      <w:r>
        <w:rPr>
          <w:rStyle w:val="CharacterStyle1"/>
          <w:spacing w:val="-8"/>
          <w:w w:val="105"/>
          <w:lang w:val="es-ES" w:eastAsia="es-ES"/>
        </w:rPr>
        <w:t xml:space="preserve">Suspensión de Actuaciones Administrativas de fecha 23 de mayo del 2002 en ampliación a </w:t>
      </w:r>
      <w:r>
        <w:rPr>
          <w:rStyle w:val="CharacterStyle1"/>
          <w:spacing w:val="-5"/>
          <w:w w:val="105"/>
          <w:lang w:val="es-ES" w:eastAsia="es-ES"/>
        </w:rPr>
        <w:t xml:space="preserve">Incidente de Nulidad Absoluta incoado en fecha 17 de mayo del 2002 contra el "Primer </w:t>
      </w:r>
      <w:r>
        <w:rPr>
          <w:rStyle w:val="CharacterStyle1"/>
          <w:spacing w:val="-4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rStyle w:val="CharacterStyle1"/>
          <w:spacing w:val="-2"/>
          <w:w w:val="105"/>
          <w:lang w:val="es-ES" w:eastAsia="es-ES"/>
        </w:rPr>
        <w:t xml:space="preserve">en la modalidad de taxi" presentado por el </w:t>
      </w:r>
      <w:r w:rsidRPr="00747A18">
        <w:rPr>
          <w:rStyle w:val="CharacterStyle1"/>
          <w:bCs/>
          <w:spacing w:val="-2"/>
          <w:w w:val="105"/>
          <w:lang w:val="es-ES" w:eastAsia="es-ES"/>
        </w:rPr>
        <w:t xml:space="preserve">señor RJC, </w:t>
      </w:r>
      <w:proofErr w:type="gramStart"/>
      <w:r w:rsidRPr="00747A18">
        <w:rPr>
          <w:rStyle w:val="CharacterStyle1"/>
          <w:bCs/>
          <w:spacing w:val="-2"/>
          <w:w w:val="105"/>
          <w:lang w:val="es-ES" w:eastAsia="es-ES"/>
        </w:rPr>
        <w:t xml:space="preserve">cédula </w:t>
      </w:r>
      <w:r>
        <w:rPr>
          <w:rStyle w:val="CharacterStyle1"/>
          <w:bCs/>
          <w:spacing w:val="-2"/>
          <w:w w:val="105"/>
          <w:lang w:val="es-ES" w:eastAsia="es-ES"/>
        </w:rPr>
        <w:t>…</w:t>
      </w:r>
      <w:proofErr w:type="gramEnd"/>
      <w:r>
        <w:rPr>
          <w:rStyle w:val="CharacterStyle1"/>
          <w:bCs/>
          <w:spacing w:val="-2"/>
          <w:w w:val="105"/>
          <w:lang w:val="es-ES" w:eastAsia="es-ES"/>
        </w:rPr>
        <w:t>.</w:t>
      </w:r>
      <w:r w:rsidRPr="00747A18">
        <w:rPr>
          <w:rStyle w:val="CharacterStyle1"/>
          <w:bCs/>
          <w:spacing w:val="-4"/>
          <w:w w:val="105"/>
          <w:lang w:val="es-ES" w:eastAsia="es-ES"/>
        </w:rPr>
        <w:t xml:space="preserve">, </w:t>
      </w:r>
      <w:r w:rsidRPr="00747A18">
        <w:rPr>
          <w:rStyle w:val="CharacterStyle1"/>
          <w:spacing w:val="-4"/>
          <w:w w:val="105"/>
          <w:lang w:val="es-ES" w:eastAsia="es-ES"/>
        </w:rPr>
        <w:t xml:space="preserve">tramitado en este Despacho bajo el </w:t>
      </w:r>
      <w:r w:rsidRPr="00747A18">
        <w:rPr>
          <w:rStyle w:val="CharacterStyle1"/>
          <w:bCs/>
          <w:spacing w:val="-4"/>
          <w:w w:val="105"/>
          <w:lang w:val="es-ES" w:eastAsia="es-ES"/>
        </w:rPr>
        <w:t>expediente número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 TAT-437-02.</w:t>
      </w:r>
    </w:p>
    <w:p w:rsidR="00E62EC1" w:rsidRDefault="00E62EC1" w:rsidP="00E62EC1">
      <w:pPr>
        <w:pStyle w:val="Style2"/>
        <w:kinsoku w:val="0"/>
        <w:autoSpaceDE/>
        <w:autoSpaceDN/>
        <w:spacing w:before="324" w:line="199" w:lineRule="auto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RESULTANDO:</w:t>
      </w:r>
    </w:p>
    <w:p w:rsidR="00E62EC1" w:rsidRDefault="00E62EC1" w:rsidP="00E62EC1">
      <w:pPr>
        <w:pStyle w:val="Style3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t xml:space="preserve">PRIMERO.- </w:t>
      </w:r>
      <w:r>
        <w:rPr>
          <w:rStyle w:val="CharacterStyle1"/>
          <w:spacing w:val="6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E62EC1" w:rsidRDefault="00E62EC1" w:rsidP="00E62EC1">
      <w:pPr>
        <w:pStyle w:val="Style3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SEGUNDO: </w:t>
      </w:r>
      <w:r>
        <w:rPr>
          <w:rStyle w:val="CharacterStyle1"/>
          <w:spacing w:val="-1"/>
          <w:w w:val="105"/>
          <w:lang w:val="es-ES" w:eastAsia="es-ES"/>
        </w:rPr>
        <w:t xml:space="preserve">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E62EC1" w:rsidRDefault="00E62EC1" w:rsidP="00E62EC1">
      <w:pPr>
        <w:pStyle w:val="Style3"/>
        <w:kinsoku w:val="0"/>
        <w:autoSpaceDE/>
        <w:autoSpaceDN/>
        <w:spacing w:after="72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TERCERO: </w:t>
      </w:r>
      <w:r>
        <w:rPr>
          <w:rStyle w:val="CharacterStyle1"/>
          <w:spacing w:val="4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E62EC1" w:rsidRDefault="00E62EC1" w:rsidP="00E62EC1">
      <w:pPr>
        <w:pStyle w:val="Style4"/>
        <w:kinsoku w:val="0"/>
        <w:autoSpaceDE/>
        <w:autoSpaceDN/>
        <w:adjustRightInd/>
        <w:spacing w:before="684"/>
        <w:ind w:left="7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Además, en el numeral 15 establece que contra el acto de adjudicación de este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procedimiento caben los recursos ordinarios de revocatoria contra el órgano que emitió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lastRenderedPageBreak/>
        <w:t xml:space="preserve">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acto y el de apelación ante el Tribunal Administrativo de Transporte.</w:t>
      </w:r>
    </w:p>
    <w:p w:rsidR="00E62EC1" w:rsidRDefault="00E62EC1" w:rsidP="00E62EC1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CUARTO: </w:t>
      </w:r>
      <w:r>
        <w:rPr>
          <w:spacing w:val="-4"/>
          <w:w w:val="105"/>
          <w:lang w:val="es-ES" w:eastAsia="es-ES"/>
        </w:rPr>
        <w:t xml:space="preserve">Mediante escritos de fecha 17 y 23 de mayo del 2002, el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 incoa Recurso </w:t>
      </w:r>
      <w:r>
        <w:rPr>
          <w:spacing w:val="-1"/>
          <w:w w:val="105"/>
          <w:lang w:val="es-ES" w:eastAsia="es-ES"/>
        </w:rPr>
        <w:t xml:space="preserve">de Apelación, concomitantemente incidentes de nulidad absoluta y de suspensión de actuaciones administrativas contra el Primer Procedimiento Abreviado de Contratación </w:t>
      </w:r>
      <w:r>
        <w:rPr>
          <w:spacing w:val="-5"/>
          <w:w w:val="105"/>
          <w:lang w:val="es-ES" w:eastAsia="es-ES"/>
        </w:rPr>
        <w:t xml:space="preserve">para el </w:t>
      </w:r>
      <w:proofErr w:type="spellStart"/>
      <w:r>
        <w:rPr>
          <w:spacing w:val="-5"/>
          <w:w w:val="105"/>
          <w:lang w:val="es-ES" w:eastAsia="es-ES"/>
        </w:rPr>
        <w:t>concesionamiento</w:t>
      </w:r>
      <w:proofErr w:type="spellEnd"/>
      <w:r>
        <w:rPr>
          <w:spacing w:val="-5"/>
          <w:w w:val="105"/>
          <w:lang w:val="es-ES" w:eastAsia="es-ES"/>
        </w:rPr>
        <w:t xml:space="preserve"> de taxis." En los escritos de marras el </w:t>
      </w:r>
      <w:proofErr w:type="spellStart"/>
      <w:r>
        <w:rPr>
          <w:spacing w:val="-5"/>
          <w:w w:val="105"/>
          <w:lang w:val="es-ES" w:eastAsia="es-ES"/>
        </w:rPr>
        <w:t>incidentista</w:t>
      </w:r>
      <w:proofErr w:type="spellEnd"/>
      <w:r>
        <w:rPr>
          <w:spacing w:val="-5"/>
          <w:w w:val="105"/>
          <w:lang w:val="es-ES" w:eastAsia="es-ES"/>
        </w:rPr>
        <w:t xml:space="preserve"> fundamenta la </w:t>
      </w:r>
      <w:r>
        <w:rPr>
          <w:spacing w:val="-2"/>
          <w:w w:val="105"/>
          <w:lang w:val="es-ES" w:eastAsia="es-ES"/>
        </w:rPr>
        <w:t xml:space="preserve">acción en los artículos 4,16, 175, y 180 de la Ley General de la Administración Pública y </w:t>
      </w:r>
      <w:r>
        <w:rPr>
          <w:spacing w:val="-4"/>
          <w:w w:val="105"/>
          <w:lang w:val="es-ES" w:eastAsia="es-ES"/>
        </w:rPr>
        <w:t xml:space="preserve">los artículos 27, 28, 34, 39, 41, y 50 de la Constitución Política, y entra a argumentar los </w:t>
      </w:r>
      <w:r>
        <w:rPr>
          <w:spacing w:val="2"/>
          <w:w w:val="105"/>
          <w:lang w:val="es-ES" w:eastAsia="es-ES"/>
        </w:rPr>
        <w:t xml:space="preserve">motivos de la nulidad del procedimiento y su apelación por no haber accedido a la </w:t>
      </w:r>
      <w:r>
        <w:rPr>
          <w:spacing w:val="-3"/>
          <w:w w:val="105"/>
          <w:lang w:val="es-ES" w:eastAsia="es-ES"/>
        </w:rPr>
        <w:t xml:space="preserve">totalidad de los puntos por no ser propietario de un permiso o concesión de taxi por la </w:t>
      </w:r>
      <w:r>
        <w:rPr>
          <w:spacing w:val="-4"/>
          <w:w w:val="105"/>
          <w:lang w:val="es-ES" w:eastAsia="es-ES"/>
        </w:rPr>
        <w:t>aplicación inerte del Debido Proceso.</w:t>
      </w:r>
    </w:p>
    <w:p w:rsidR="00E62EC1" w:rsidRDefault="00E62EC1" w:rsidP="00E62EC1">
      <w:pPr>
        <w:pStyle w:val="Style4"/>
        <w:kinsoku w:val="0"/>
        <w:autoSpaceDE/>
        <w:autoSpaceDN/>
        <w:adjustRightInd/>
        <w:spacing w:before="288" w:line="480" w:lineRule="auto"/>
        <w:ind w:left="72" w:right="136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QUINTO: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 han observado las prescripciones legales.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 Méndez; y</w:t>
      </w:r>
    </w:p>
    <w:p w:rsidR="00E62EC1" w:rsidRDefault="00E62EC1" w:rsidP="00E62EC1">
      <w:pPr>
        <w:pStyle w:val="Style5"/>
        <w:kinsoku w:val="0"/>
        <w:autoSpaceDE/>
        <w:autoSpaceDN/>
        <w:spacing w:before="216" w:line="204" w:lineRule="auto"/>
        <w:ind w:left="0" w:right="0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E62EC1" w:rsidRDefault="00E62EC1" w:rsidP="00E62EC1">
      <w:pPr>
        <w:pStyle w:val="Style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LA COMPETENCIA DEL TRIBUNAL: </w:t>
      </w:r>
      <w:r>
        <w:rPr>
          <w:spacing w:val="2"/>
          <w:w w:val="105"/>
          <w:lang w:val="es-ES" w:eastAsia="es-ES"/>
        </w:rPr>
        <w:t xml:space="preserve">El Tribunal Administrativo de Transporte </w:t>
      </w:r>
      <w:r>
        <w:rPr>
          <w:spacing w:val="-3"/>
          <w:w w:val="105"/>
          <w:lang w:val="es-ES" w:eastAsia="es-ES"/>
        </w:rPr>
        <w:t xml:space="preserve">asume la competencia de conocer los recursos de apelación que se presentan al Primer </w:t>
      </w:r>
      <w:r>
        <w:rPr>
          <w:spacing w:val="6"/>
          <w:w w:val="105"/>
          <w:lang w:val="es-ES" w:eastAsia="es-ES"/>
        </w:rPr>
        <w:t xml:space="preserve">Procedimiento Especial Abreviado para la concesión del servicio de Transporte </w:t>
      </w:r>
      <w:r>
        <w:rPr>
          <w:spacing w:val="2"/>
          <w:w w:val="105"/>
          <w:lang w:val="es-ES" w:eastAsia="es-ES"/>
        </w:rPr>
        <w:t xml:space="preserve">Remunerado de Personas en la Modalidad de Vehículos Taxi, por así resultar de la </w:t>
      </w:r>
      <w:r>
        <w:rPr>
          <w:w w:val="105"/>
          <w:lang w:val="es-ES" w:eastAsia="es-ES"/>
        </w:rPr>
        <w:t xml:space="preserve">integración del artículo 22 de la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-7"/>
          <w:w w:val="105"/>
          <w:lang w:val="es-ES" w:eastAsia="es-ES"/>
        </w:rPr>
        <w:t xml:space="preserve">diciembre de 1999, con relación al artículo 15 del Decreto No. 28913-MOPT denominado </w:t>
      </w:r>
      <w:r>
        <w:rPr>
          <w:spacing w:val="-9"/>
          <w:w w:val="105"/>
          <w:lang w:val="es-ES" w:eastAsia="es-ES"/>
        </w:rPr>
        <w:t xml:space="preserve">"Reglamento del primer procedimiento especial abreviado para el transporte remunerado de </w:t>
      </w:r>
      <w:r>
        <w:rPr>
          <w:spacing w:val="-8"/>
          <w:w w:val="105"/>
          <w:lang w:val="es-ES" w:eastAsia="es-ES"/>
        </w:rPr>
        <w:t xml:space="preserve">personas en vehículos en la modalidad de taxi" y sus reformas; así como la resolución de la </w:t>
      </w:r>
      <w:r>
        <w:rPr>
          <w:spacing w:val="-3"/>
          <w:w w:val="105"/>
          <w:lang w:val="es-ES" w:eastAsia="es-ES"/>
        </w:rPr>
        <w:t xml:space="preserve">Contraloría General de la República No. RC-694-2001 de las nueve horas con cuarenta y </w:t>
      </w:r>
      <w:r>
        <w:rPr>
          <w:spacing w:val="-5"/>
          <w:w w:val="105"/>
          <w:lang w:val="es-ES" w:eastAsia="es-ES"/>
        </w:rPr>
        <w:t xml:space="preserve">cinco minutos del trece de noviembre del 2001, el Tribunal Administrativo de Transporte es </w:t>
      </w:r>
      <w:r>
        <w:rPr>
          <w:spacing w:val="-3"/>
          <w:w w:val="105"/>
          <w:lang w:val="es-ES" w:eastAsia="es-ES"/>
        </w:rPr>
        <w:t>el competente para conocer y resolver los recursos de apelación venidos en alzada.</w:t>
      </w:r>
    </w:p>
    <w:p w:rsidR="00E62EC1" w:rsidRPr="00747A18" w:rsidRDefault="00E62EC1" w:rsidP="00E62EC1">
      <w:pPr>
        <w:pStyle w:val="Style5"/>
        <w:kinsoku w:val="0"/>
        <w:autoSpaceDE/>
        <w:autoSpaceDN/>
        <w:spacing w:after="36"/>
        <w:rPr>
          <w:rStyle w:val="CharacterStyle4"/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No obstante fijada la fecha de la publicación al Alcance 35 de La Gaceta N° 83 de fecha 2 </w:t>
      </w:r>
      <w:r>
        <w:rPr>
          <w:spacing w:val="-4"/>
          <w:w w:val="105"/>
          <w:lang w:val="es-ES" w:eastAsia="es-ES"/>
        </w:rPr>
        <w:t xml:space="preserve">de mayo de 2002, por medio de la cual se publica el Artículo 1° de la Sesión Extraordinaria </w:t>
      </w:r>
      <w:r>
        <w:rPr>
          <w:spacing w:val="-2"/>
          <w:w w:val="105"/>
          <w:lang w:val="es-ES" w:eastAsia="es-ES"/>
        </w:rPr>
        <w:t xml:space="preserve">N° 37-2001 de Junta Directiva del Consejo de Transporte Público, como plazo de inicio </w:t>
      </w:r>
      <w:r>
        <w:rPr>
          <w:spacing w:val="3"/>
          <w:w w:val="105"/>
          <w:lang w:val="es-ES" w:eastAsia="es-ES"/>
        </w:rPr>
        <w:t xml:space="preserve">para interponer los recursos ordinarios de revocatoria y apelación en subsidio, de </w:t>
      </w:r>
      <w:r>
        <w:rPr>
          <w:spacing w:val="-7"/>
          <w:w w:val="105"/>
          <w:lang w:val="es-ES" w:eastAsia="es-ES"/>
        </w:rPr>
        <w:t xml:space="preserve">conformidad con lo que establece el artículo 15 del "Reglamento del primer procedimiento </w:t>
      </w:r>
      <w:r>
        <w:rPr>
          <w:spacing w:val="-4"/>
          <w:w w:val="105"/>
          <w:lang w:val="es-ES" w:eastAsia="es-ES"/>
        </w:rPr>
        <w:t xml:space="preserve">especial abreviado para el transporte remunerado de personas en vehículos en la modalidad de taxi" y establecida la fecha de presentación del escrito, por parte del accionante el día 23 de mayo del 2002, en cuanto a que el recurso ordinario de apelación, por adición planteada </w:t>
      </w:r>
      <w:r>
        <w:rPr>
          <w:spacing w:val="-2"/>
          <w:w w:val="105"/>
          <w:lang w:val="es-ES" w:eastAsia="es-ES"/>
        </w:rPr>
        <w:t xml:space="preserve">en fecha 23 de mayo del 2002 </w:t>
      </w:r>
      <w:proofErr w:type="spellStart"/>
      <w:r>
        <w:rPr>
          <w:spacing w:val="-2"/>
          <w:w w:val="105"/>
          <w:lang w:val="es-ES" w:eastAsia="es-ES"/>
        </w:rPr>
        <w:t>a</w:t>
      </w:r>
      <w:proofErr w:type="spellEnd"/>
      <w:r>
        <w:rPr>
          <w:spacing w:val="-2"/>
          <w:w w:val="105"/>
          <w:lang w:val="es-ES" w:eastAsia="es-ES"/>
        </w:rPr>
        <w:t xml:space="preserve"> Incidente de nulidad absoluta, con fecha de interposición </w:t>
      </w:r>
      <w:r>
        <w:rPr>
          <w:spacing w:val="-5"/>
          <w:w w:val="105"/>
          <w:lang w:val="es-ES" w:eastAsia="es-ES"/>
        </w:rPr>
        <w:t xml:space="preserve">del día 17 de mayo del año en curso, resulta ser extemporáneo, en ese tanto el recurso de </w:t>
      </w:r>
      <w:r>
        <w:rPr>
          <w:spacing w:val="-4"/>
          <w:w w:val="105"/>
          <w:lang w:val="es-ES" w:eastAsia="es-ES"/>
        </w:rPr>
        <w:t>apelación debe rechazarse de plano, por lo que no se entra a conocer el fondo</w:t>
      </w:r>
    </w:p>
    <w:p w:rsidR="00E62EC1" w:rsidRDefault="00E62EC1" w:rsidP="00E62EC1">
      <w:pPr>
        <w:pStyle w:val="Style6"/>
        <w:kinsoku w:val="0"/>
        <w:autoSpaceDE/>
        <w:autoSpaceDN/>
        <w:spacing w:before="432" w:line="271" w:lineRule="exact"/>
        <w:ind w:right="-57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1"/>
          <w:w w:val="105"/>
          <w:lang w:val="es-ES" w:eastAsia="es-ES"/>
        </w:rPr>
        <w:lastRenderedPageBreak/>
        <w:t xml:space="preserve">Asimismo, de la lectura del escrito de fecha 23 de mayo, se desprende la interposición de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un recurso de revocatoria en las pretensiones del recurrente, el cual no ha sido interpuesto ante la Administración activa para su conocimiento, etapa de previo agotamiento, en este </w:t>
      </w:r>
      <w:r>
        <w:rPr>
          <w:rStyle w:val="CharacterStyle7"/>
          <w:iCs w:val="0"/>
          <w:spacing w:val="-1"/>
          <w:w w:val="105"/>
          <w:lang w:val="es-ES" w:eastAsia="es-ES"/>
        </w:rPr>
        <w:t xml:space="preserve">caso, para entrar a conocer sobre el recurso en alzada, lo que provoca el rechazo de plano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en idénticas condiciones sobre los incidentes de nulidad absoluta, así como el de suspensión </w:t>
      </w:r>
      <w:r>
        <w:rPr>
          <w:rStyle w:val="CharacterStyle7"/>
          <w:iCs w:val="0"/>
          <w:spacing w:val="-4"/>
          <w:w w:val="105"/>
          <w:lang w:val="es-ES" w:eastAsia="es-ES"/>
        </w:rPr>
        <w:t>de actuaciones administrativas inmersos dentro de ese recurso.</w:t>
      </w:r>
    </w:p>
    <w:p w:rsidR="00E62EC1" w:rsidRDefault="00E62EC1" w:rsidP="00E62EC1">
      <w:pPr>
        <w:pStyle w:val="Style6"/>
        <w:kinsoku w:val="0"/>
        <w:autoSpaceDE/>
        <w:autoSpaceDN/>
        <w:ind w:right="-57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8"/>
          <w:w w:val="105"/>
          <w:lang w:val="es-ES" w:eastAsia="es-ES"/>
        </w:rPr>
        <w:t xml:space="preserve">Ahora bien, sobre el Incidente de nulidad plantado en fecha 17 de mayo, debe informarse lo </w:t>
      </w:r>
      <w:r>
        <w:rPr>
          <w:rStyle w:val="CharacterStyle7"/>
          <w:iCs w:val="0"/>
          <w:spacing w:val="9"/>
          <w:w w:val="105"/>
          <w:lang w:val="es-ES" w:eastAsia="es-ES"/>
        </w:rPr>
        <w:t xml:space="preserve">siguiente: Debe tomarse en cuenta que el artículo 181 de la Ley General de la </w:t>
      </w:r>
      <w:r>
        <w:rPr>
          <w:rStyle w:val="CharacterStyle7"/>
          <w:iCs w:val="0"/>
          <w:spacing w:val="-4"/>
          <w:w w:val="105"/>
          <w:lang w:val="es-ES" w:eastAsia="es-ES"/>
        </w:rPr>
        <w:t>Administración Pública, señala textualmente:</w:t>
      </w:r>
    </w:p>
    <w:p w:rsidR="00E62EC1" w:rsidRDefault="00E62EC1" w:rsidP="00E62EC1">
      <w:pPr>
        <w:pStyle w:val="Style6"/>
        <w:kinsoku w:val="0"/>
        <w:autoSpaceDE/>
        <w:autoSpaceDN/>
        <w:spacing w:before="180" w:line="267" w:lineRule="exact"/>
        <w:ind w:right="-57" w:firstLine="72"/>
        <w:rPr>
          <w:rStyle w:val="CharacterStyle7"/>
          <w:i/>
          <w:lang w:val="es-ES" w:eastAsia="es-ES"/>
        </w:rPr>
      </w:pPr>
      <w:r>
        <w:rPr>
          <w:rStyle w:val="CharacterStyle7"/>
          <w:i/>
          <w:spacing w:val="2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7"/>
          <w:i/>
          <w:spacing w:val="6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7"/>
          <w:i/>
          <w:spacing w:val="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7"/>
          <w:i/>
          <w:lang w:val="es-ES" w:eastAsia="es-ES"/>
        </w:rPr>
        <w:t>invocada en el recurso."</w:t>
      </w:r>
    </w:p>
    <w:p w:rsidR="00E62EC1" w:rsidRDefault="00E62EC1" w:rsidP="00E62EC1">
      <w:pPr>
        <w:pStyle w:val="Style6"/>
        <w:kinsoku w:val="0"/>
        <w:autoSpaceDE/>
        <w:autoSpaceDN/>
        <w:spacing w:line="279" w:lineRule="exact"/>
        <w:ind w:right="-57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7"/>
          <w:w w:val="105"/>
          <w:lang w:val="es-ES" w:eastAsia="es-ES"/>
        </w:rPr>
        <w:t xml:space="preserve">Del texto normativo, podemos extraer, que el Tribunal Administrativo de Transporte como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contralor no jerárquico, no podrá conocer los incidentes de nulidad que no se presenten en </w:t>
      </w:r>
      <w:r>
        <w:rPr>
          <w:rStyle w:val="CharacterStyle7"/>
          <w:iCs w:val="0"/>
          <w:spacing w:val="-4"/>
          <w:w w:val="105"/>
          <w:lang w:val="es-ES" w:eastAsia="es-ES"/>
        </w:rPr>
        <w:t xml:space="preserve">forma conjunta con los recursos de apelación, los que deberán presentarse con todas las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formalidades que exige la admisibilidad, caso contrario, el incidente de nulidad sufrirá la </w:t>
      </w:r>
      <w:r>
        <w:rPr>
          <w:rStyle w:val="CharacterStyle7"/>
          <w:iCs w:val="0"/>
          <w:spacing w:val="-4"/>
          <w:w w:val="105"/>
          <w:lang w:val="es-ES" w:eastAsia="es-ES"/>
        </w:rPr>
        <w:t>misma suerte que el recurso que lo sustenta.</w:t>
      </w:r>
    </w:p>
    <w:p w:rsidR="00E62EC1" w:rsidRDefault="00E62EC1" w:rsidP="00E62EC1">
      <w:pPr>
        <w:pStyle w:val="Style6"/>
        <w:kinsoku w:val="0"/>
        <w:autoSpaceDE/>
        <w:autoSpaceDN/>
        <w:spacing w:line="263" w:lineRule="exact"/>
        <w:ind w:right="-57"/>
        <w:rPr>
          <w:rStyle w:val="CharacterStyle7"/>
          <w:iCs w:val="0"/>
          <w:w w:val="105"/>
          <w:lang w:val="es-ES" w:eastAsia="es-ES"/>
        </w:rPr>
      </w:pPr>
      <w:r>
        <w:rPr>
          <w:rStyle w:val="CharacterStyle7"/>
          <w:iCs w:val="0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7"/>
          <w:iCs w:val="0"/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7"/>
          <w:iCs w:val="0"/>
          <w:w w:val="105"/>
          <w:lang w:val="es-ES" w:eastAsia="es-ES"/>
        </w:rPr>
        <w:t>manifestó:</w:t>
      </w:r>
    </w:p>
    <w:p w:rsidR="00E62EC1" w:rsidRDefault="00E62EC1" w:rsidP="00E62EC1">
      <w:pPr>
        <w:pStyle w:val="Style4"/>
        <w:kinsoku w:val="0"/>
        <w:autoSpaceDE/>
        <w:autoSpaceDN/>
        <w:adjustRightInd/>
        <w:spacing w:before="216" w:after="540" w:line="276" w:lineRule="exact"/>
        <w:ind w:right="-57" w:firstLine="72"/>
        <w:jc w:val="both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vedado por disposición expresa de la ley o conocer de estos asuntos en forma oficiosa y mucho menos en avocación. De esa manera lo preceptúa el artículo 181 de la Ley General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>pero podrá aplicar una norma no invocada en el recurso."</w:t>
      </w:r>
    </w:p>
    <w:p w:rsidR="00E62EC1" w:rsidRDefault="00E62EC1" w:rsidP="00E62EC1">
      <w:pPr>
        <w:pStyle w:val="Style4"/>
        <w:kinsoku w:val="0"/>
        <w:autoSpaceDE/>
        <w:autoSpaceDN/>
        <w:adjustRightInd/>
        <w:spacing w:before="756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lastRenderedPageBreak/>
        <w:t xml:space="preserve">Las normas y jurisprudencia citadas, hacen concluir que la relación de normas hecha por el </w:t>
      </w:r>
      <w:proofErr w:type="spellStart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incidentista</w:t>
      </w:r>
      <w:proofErr w:type="spellEnd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en el escrito presentado en fecha 17 de mayo, resultan inaplicables, razones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suficientes para rechazar por improcedente las nulidad presentada, resulta inapropiado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pronunciarse sobre el fondo del asunto.</w:t>
      </w:r>
    </w:p>
    <w:p w:rsidR="00E62EC1" w:rsidRDefault="00E62EC1" w:rsidP="00E62EC1">
      <w:pPr>
        <w:pStyle w:val="Style5"/>
        <w:kinsoku w:val="0"/>
        <w:autoSpaceDE/>
        <w:autoSpaceDN/>
        <w:spacing w:before="288" w:line="204" w:lineRule="auto"/>
        <w:ind w:left="0" w:right="0"/>
        <w:jc w:val="center"/>
        <w:rPr>
          <w:b/>
          <w:bCs/>
          <w:spacing w:val="-13"/>
          <w:w w:val="105"/>
          <w:lang w:val="es-ES" w:eastAsia="es-ES"/>
        </w:rPr>
      </w:pPr>
      <w:r>
        <w:rPr>
          <w:b/>
          <w:bCs/>
          <w:spacing w:val="-13"/>
          <w:w w:val="105"/>
          <w:lang w:val="es-ES" w:eastAsia="es-ES"/>
        </w:rPr>
        <w:t>POR TANTO:</w:t>
      </w:r>
    </w:p>
    <w:p w:rsidR="00E62EC1" w:rsidRDefault="00E62EC1" w:rsidP="00E62EC1">
      <w:pPr>
        <w:pStyle w:val="Style5"/>
        <w:numPr>
          <w:ilvl w:val="0"/>
          <w:numId w:val="1"/>
        </w:numPr>
        <w:tabs>
          <w:tab w:val="num" w:pos="432"/>
        </w:tabs>
        <w:kinsoku w:val="0"/>
        <w:autoSpaceDE/>
        <w:autoSpaceDN/>
        <w:spacing w:before="288"/>
        <w:ind w:left="0" w:right="0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rechaza por improcedente el Recurso de Apelación, presentado mediante escrito de </w:t>
      </w:r>
      <w:r>
        <w:rPr>
          <w:spacing w:val="-8"/>
          <w:w w:val="105"/>
          <w:lang w:val="es-ES" w:eastAsia="es-ES"/>
        </w:rPr>
        <w:t xml:space="preserve">fecha 23 de mayo del 2002, así como el Incidente de Nulidad Absoluta y de Suspensión de </w:t>
      </w:r>
      <w:r>
        <w:rPr>
          <w:spacing w:val="7"/>
          <w:w w:val="105"/>
          <w:lang w:val="es-ES" w:eastAsia="es-ES"/>
        </w:rPr>
        <w:t xml:space="preserve">Actuaciones Administrativas por extemporáneos con base en el numeral 15 del </w:t>
      </w:r>
      <w:r>
        <w:rPr>
          <w:spacing w:val="-9"/>
          <w:w w:val="105"/>
          <w:lang w:val="es-ES" w:eastAsia="es-ES"/>
        </w:rPr>
        <w:t xml:space="preserve">"Reglamento del primer procedimiento especial abreviado para el transporte remunerado de </w:t>
      </w:r>
      <w:r>
        <w:rPr>
          <w:w w:val="105"/>
          <w:lang w:val="es-ES" w:eastAsia="es-ES"/>
        </w:rPr>
        <w:t xml:space="preserve">personas en vehículos en la modalidad de taxi" y con lugar al artículo 181 de la Ley </w:t>
      </w:r>
      <w:r>
        <w:rPr>
          <w:spacing w:val="-5"/>
          <w:w w:val="105"/>
          <w:lang w:val="es-ES" w:eastAsia="es-ES"/>
        </w:rPr>
        <w:t xml:space="preserve">General de la Administración Pública rechazar de plano el Incidente de Nulidad Absoluta incoado mediante escrito de fecha 17 de mayo del 2002, presentados por el señor </w:t>
      </w:r>
      <w:r>
        <w:rPr>
          <w:b/>
          <w:bCs/>
          <w:spacing w:val="-5"/>
          <w:w w:val="105"/>
          <w:lang w:val="es-ES" w:eastAsia="es-ES"/>
        </w:rPr>
        <w:t>R</w:t>
      </w:r>
      <w:r>
        <w:rPr>
          <w:b/>
          <w:bCs/>
          <w:spacing w:val="-6"/>
          <w:w w:val="105"/>
          <w:lang w:val="es-ES" w:eastAsia="es-ES"/>
        </w:rPr>
        <w:t xml:space="preserve">JC, cédula …., CONTRA </w:t>
      </w:r>
      <w:r>
        <w:rPr>
          <w:spacing w:val="-6"/>
          <w:w w:val="105"/>
          <w:lang w:val="es-ES" w:eastAsia="es-ES"/>
        </w:rPr>
        <w:t xml:space="preserve">el Primer Procedimiento Especial Abreviado </w:t>
      </w:r>
      <w:r>
        <w:rPr>
          <w:spacing w:val="-5"/>
          <w:w w:val="105"/>
          <w:lang w:val="es-ES" w:eastAsia="es-ES"/>
        </w:rPr>
        <w:t>para la Concesión del Servicio de Transporte Público en la Modalidad de Vehículos Taxi.</w:t>
      </w:r>
    </w:p>
    <w:p w:rsidR="00E62EC1" w:rsidRDefault="00E62EC1" w:rsidP="00E62EC1">
      <w:pPr>
        <w:pStyle w:val="Style5"/>
        <w:numPr>
          <w:ilvl w:val="0"/>
          <w:numId w:val="1"/>
        </w:numPr>
        <w:tabs>
          <w:tab w:val="num" w:pos="432"/>
        </w:tabs>
        <w:kinsoku w:val="0"/>
        <w:autoSpaceDE/>
        <w:autoSpaceDN/>
        <w:spacing w:before="216" w:after="36"/>
        <w:ind w:left="0" w:right="0"/>
        <w:rPr>
          <w:b/>
          <w:bCs/>
          <w:spacing w:val="-11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6"/>
          <w:w w:val="105"/>
          <w:lang w:val="es-ES" w:eastAsia="es-ES"/>
        </w:rPr>
        <w:t xml:space="preserve">resolución no tiene ulterior recurso por lo que, </w:t>
      </w:r>
      <w:r>
        <w:rPr>
          <w:b/>
          <w:bCs/>
          <w:i/>
          <w:iCs/>
          <w:spacing w:val="-6"/>
          <w:sz w:val="25"/>
          <w:szCs w:val="25"/>
          <w:lang w:val="es-ES" w:eastAsia="es-ES"/>
        </w:rPr>
        <w:t xml:space="preserve">se tiene por agotada la vía administrativa. </w:t>
      </w:r>
      <w:r>
        <w:rPr>
          <w:b/>
          <w:bCs/>
          <w:spacing w:val="-11"/>
          <w:w w:val="105"/>
          <w:lang w:val="es-ES" w:eastAsia="es-ES"/>
        </w:rPr>
        <w:t>NOTIFIQUESE.-</w:t>
      </w:r>
    </w:p>
    <w:p w:rsidR="00E62EC1" w:rsidRDefault="00E62EC1" w:rsidP="00E62EC1">
      <w:pPr>
        <w:pStyle w:val="Style4"/>
        <w:kinsoku w:val="0"/>
        <w:autoSpaceDE/>
        <w:autoSpaceDN/>
        <w:adjustRightInd/>
        <w:spacing w:line="201" w:lineRule="auto"/>
        <w:jc w:val="center"/>
        <w:rPr>
          <w:rStyle w:val="CharacterStyle4"/>
          <w:rFonts w:ascii="Bookman Old Style" w:hAnsi="Bookman Old Style" w:cs="Bookman Old Style"/>
          <w:spacing w:val="-50"/>
          <w:w w:val="65"/>
          <w:sz w:val="43"/>
          <w:szCs w:val="43"/>
          <w:lang w:val="es-ES" w:eastAsia="es-ES"/>
        </w:rPr>
      </w:pPr>
    </w:p>
    <w:p w:rsidR="00E62EC1" w:rsidRDefault="00E62EC1" w:rsidP="00E62EC1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E62EC1" w:rsidRDefault="00E62EC1" w:rsidP="00E62EC1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E62EC1" w:rsidRDefault="00E62EC1" w:rsidP="00E62EC1">
      <w:pPr>
        <w:rPr>
          <w:sz w:val="26"/>
          <w:szCs w:val="26"/>
        </w:rPr>
      </w:pPr>
    </w:p>
    <w:p w:rsidR="00E62EC1" w:rsidRDefault="00E62EC1" w:rsidP="00E62EC1">
      <w:pPr>
        <w:rPr>
          <w:sz w:val="26"/>
          <w:szCs w:val="26"/>
        </w:rPr>
      </w:pPr>
    </w:p>
    <w:p w:rsidR="00E62EC1" w:rsidRDefault="00E62EC1" w:rsidP="00E62EC1">
      <w:pPr>
        <w:rPr>
          <w:sz w:val="26"/>
          <w:szCs w:val="26"/>
        </w:rPr>
      </w:pPr>
    </w:p>
    <w:p w:rsidR="00E62EC1" w:rsidRDefault="00E62EC1" w:rsidP="00E62EC1">
      <w:pPr>
        <w:rPr>
          <w:sz w:val="26"/>
          <w:szCs w:val="26"/>
        </w:rPr>
      </w:pPr>
    </w:p>
    <w:p w:rsidR="00E62EC1" w:rsidRDefault="00E62EC1" w:rsidP="00E62EC1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E62EC1" w:rsidRDefault="00E62EC1" w:rsidP="00E62EC1">
      <w:pPr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E62EC1" w:rsidRDefault="00E62EC1" w:rsidP="00E62EC1">
      <w:pPr>
        <w:pStyle w:val="Style4"/>
        <w:kinsoku w:val="0"/>
        <w:autoSpaceDE/>
        <w:adjustRightInd/>
        <w:spacing w:before="72" w:after="108"/>
        <w:ind w:right="85"/>
        <w:rPr>
          <w:rStyle w:val="CharacterStyle3"/>
          <w:spacing w:val="2"/>
          <w:w w:val="105"/>
          <w:sz w:val="24"/>
          <w:szCs w:val="24"/>
          <w:lang w:val="es-ES" w:eastAsia="es-ES"/>
        </w:rPr>
      </w:pPr>
    </w:p>
    <w:p w:rsidR="00E62EC1" w:rsidRDefault="00E62EC1" w:rsidP="00E62EC1">
      <w:pPr>
        <w:pStyle w:val="Style4"/>
        <w:kinsoku w:val="0"/>
        <w:autoSpaceDE/>
        <w:autoSpaceDN/>
        <w:adjustRightInd/>
        <w:spacing w:line="201" w:lineRule="auto"/>
        <w:jc w:val="center"/>
        <w:rPr>
          <w:rStyle w:val="CharacterStyle4"/>
          <w:rFonts w:ascii="Bookman Old Style" w:hAnsi="Bookman Old Style" w:cs="Bookman Old Style"/>
          <w:spacing w:val="-50"/>
          <w:w w:val="65"/>
          <w:sz w:val="43"/>
          <w:szCs w:val="43"/>
          <w:lang w:val="es-ES" w:eastAsia="es-ES"/>
        </w:rPr>
      </w:pPr>
    </w:p>
    <w:p w:rsidR="00F07A18" w:rsidRDefault="00F07A18"/>
    <w:sectPr w:rsidR="00F07A18" w:rsidSect="00747A18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EF84"/>
    <w:multiLevelType w:val="singleLevel"/>
    <w:tmpl w:val="EA4AC37C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snapToGrid/>
        <w:spacing w:val="-5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EC1"/>
    <w:rsid w:val="003819BC"/>
    <w:rsid w:val="003D5801"/>
    <w:rsid w:val="006A5EC0"/>
    <w:rsid w:val="0099644F"/>
    <w:rsid w:val="00A71D2C"/>
    <w:rsid w:val="00B43B43"/>
    <w:rsid w:val="00CA79F1"/>
    <w:rsid w:val="00D43BD3"/>
    <w:rsid w:val="00E62EC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C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62EC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62EC1"/>
    <w:pPr>
      <w:kinsoku/>
      <w:autoSpaceDE w:val="0"/>
      <w:autoSpaceDN w:val="0"/>
      <w:jc w:val="center"/>
    </w:pPr>
  </w:style>
  <w:style w:type="paragraph" w:customStyle="1" w:styleId="Style3">
    <w:name w:val="Style 3"/>
    <w:basedOn w:val="Normal"/>
    <w:uiPriority w:val="99"/>
    <w:rsid w:val="00E62EC1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4">
    <w:name w:val="Style 4"/>
    <w:basedOn w:val="Normal"/>
    <w:uiPriority w:val="99"/>
    <w:rsid w:val="00E62EC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62EC1"/>
    <w:pPr>
      <w:kinsoku/>
      <w:autoSpaceDE w:val="0"/>
      <w:autoSpaceDN w:val="0"/>
      <w:spacing w:before="180"/>
      <w:ind w:left="72" w:right="72"/>
      <w:jc w:val="both"/>
    </w:pPr>
  </w:style>
  <w:style w:type="paragraph" w:customStyle="1" w:styleId="Style6">
    <w:name w:val="Style 6"/>
    <w:basedOn w:val="Normal"/>
    <w:uiPriority w:val="99"/>
    <w:rsid w:val="00E62EC1"/>
    <w:pPr>
      <w:kinsoku/>
      <w:autoSpaceDE w:val="0"/>
      <w:autoSpaceDN w:val="0"/>
      <w:spacing w:before="216" w:line="276" w:lineRule="exact"/>
      <w:ind w:right="1224"/>
      <w:jc w:val="both"/>
    </w:pPr>
    <w:rPr>
      <w:i/>
      <w:iCs/>
    </w:rPr>
  </w:style>
  <w:style w:type="character" w:customStyle="1" w:styleId="CharacterStyle1">
    <w:name w:val="Character Style 1"/>
    <w:uiPriority w:val="99"/>
    <w:rsid w:val="00E62EC1"/>
    <w:rPr>
      <w:sz w:val="24"/>
    </w:rPr>
  </w:style>
  <w:style w:type="character" w:customStyle="1" w:styleId="CharacterStyle7">
    <w:name w:val="Character Style 7"/>
    <w:uiPriority w:val="99"/>
    <w:rsid w:val="00E62EC1"/>
    <w:rPr>
      <w:i/>
      <w:sz w:val="24"/>
    </w:rPr>
  </w:style>
  <w:style w:type="character" w:customStyle="1" w:styleId="CharacterStyle4">
    <w:name w:val="Character Style 4"/>
    <w:uiPriority w:val="99"/>
    <w:rsid w:val="00E62EC1"/>
    <w:rPr>
      <w:sz w:val="20"/>
    </w:rPr>
  </w:style>
  <w:style w:type="character" w:customStyle="1" w:styleId="CharacterStyle3">
    <w:name w:val="Character Style 3"/>
    <w:uiPriority w:val="99"/>
    <w:rsid w:val="00E62EC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2013-03-08T16:08:00Z</dcterms:created>
  <dcterms:modified xsi:type="dcterms:W3CDTF">2013-03-08T16:09:00Z</dcterms:modified>
</cp:coreProperties>
</file>